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38" w:rsidRPr="00116B38" w:rsidRDefault="00116B38" w:rsidP="00116B38">
      <w:pPr>
        <w:pStyle w:val="Titolo2"/>
        <w:shd w:val="clear" w:color="auto" w:fill="FFFFFF"/>
        <w:spacing w:before="1350" w:after="150"/>
        <w:jc w:val="center"/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</w:pPr>
      <w:bookmarkStart w:id="0" w:name="_GoBack"/>
      <w:bookmarkEnd w:id="0"/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 xml:space="preserve"> </w:t>
      </w:r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 xml:space="preserve">Ministero della Salute - Impiego del medicinale </w:t>
      </w:r>
      <w:proofErr w:type="spellStart"/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>Vetklury</w:t>
      </w:r>
      <w:proofErr w:type="spellEnd"/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 xml:space="preserve"> a base di </w:t>
      </w:r>
      <w:proofErr w:type="spellStart"/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>remdesivir</w:t>
      </w:r>
      <w:proofErr w:type="spellEnd"/>
      <w:r w:rsidRPr="00116B38">
        <w:rPr>
          <w:rFonts w:ascii="Helvetica" w:eastAsia="Times New Roman" w:hAnsi="Helvetica" w:cs="Helvetica"/>
          <w:color w:val="FF8B05"/>
          <w:sz w:val="43"/>
          <w:szCs w:val="43"/>
          <w:lang w:eastAsia="it-IT"/>
        </w:rPr>
        <w:t xml:space="preserve"> nei termini del Regolamento di esecuzione (UE) 2024/1973 per il trattamento della peritonite infettiva felina</w:t>
      </w:r>
    </w:p>
    <w:p w:rsidR="00116B38" w:rsidRPr="00116B38" w:rsidRDefault="00116B38" w:rsidP="00116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hyperlink r:id="rId5" w:tooltip="Display a printer-friendly version of this page." w:history="1">
        <w:r w:rsidRPr="00116B38">
          <w:rPr>
            <w:rFonts w:ascii="Helvetica" w:eastAsia="Times New Roman" w:hAnsi="Helvetica" w:cs="Helvetica"/>
            <w:noProof/>
            <w:color w:val="0F85BA"/>
            <w:sz w:val="27"/>
            <w:szCs w:val="27"/>
            <w:lang w:eastAsia="it-IT"/>
          </w:rPr>
          <w:drawing>
            <wp:inline distT="0" distB="0" distL="0" distR="0" wp14:anchorId="6FA670C6" wp14:editId="2346B64E">
              <wp:extent cx="152400" cy="152400"/>
              <wp:effectExtent l="0" t="0" r="0" b="0"/>
              <wp:docPr id="1" name="Immagine 1" descr="Versione Stampabile">
                <a:hlinkClick xmlns:a="http://schemas.openxmlformats.org/drawingml/2006/main" r:id="rId5" tooltip="&quot;Display a printer-friendly version of this page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Versione Stampabile">
                        <a:hlinkClick r:id="rId5" tooltip="&quot;Display a printer-friendly version of this page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16B38">
          <w:rPr>
            <w:rFonts w:ascii="Helvetica" w:eastAsia="Times New Roman" w:hAnsi="Helvetica" w:cs="Helvetica"/>
            <w:color w:val="0F85BA"/>
            <w:sz w:val="27"/>
            <w:szCs w:val="27"/>
            <w:u w:val="single"/>
            <w:lang w:eastAsia="it-IT"/>
          </w:rPr>
          <w:t>Versione Stampabile</w:t>
        </w:r>
      </w:hyperlink>
    </w:p>
    <w:p w:rsidR="00116B38" w:rsidRPr="00116B38" w:rsidRDefault="00116B38" w:rsidP="00116B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</w:p>
    <w:p w:rsidR="00116B38" w:rsidRPr="00116B38" w:rsidRDefault="00116B38" w:rsidP="00116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04/08/2025</w:t>
      </w:r>
    </w:p>
    <w:p w:rsidR="00116B38" w:rsidRPr="00116B38" w:rsidRDefault="00116B38" w:rsidP="00116B3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Il Ministero della Salute ha diramato una </w:t>
      </w:r>
      <w:hyperlink r:id="rId7" w:tgtFrame="_blank" w:history="1">
        <w:r w:rsidRPr="00116B38">
          <w:rPr>
            <w:rFonts w:ascii="Helvetica" w:eastAsia="Times New Roman" w:hAnsi="Helvetica" w:cs="Helvetica"/>
            <w:color w:val="0F85BA"/>
            <w:sz w:val="27"/>
            <w:szCs w:val="27"/>
            <w:u w:val="single"/>
            <w:lang w:eastAsia="it-IT"/>
          </w:rPr>
          <w:t>nota </w:t>
        </w:r>
      </w:hyperlink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esplicativa sull'impiego del medicinale </w:t>
      </w:r>
      <w:proofErr w:type="spellStart"/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Vetklury</w:t>
      </w:r>
      <w:proofErr w:type="spellEnd"/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 precisando che </w:t>
      </w: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i</w:t>
      </w:r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l sistema informativo di tracciabilità consente al medico veterinario, sotto la sua diretta responsabilità e, in particolare, al fine di evitare sofferenze inaccettabili agli animali, di prescrivere e impiegare “in deroga” tale antimicrobico (antivirale a uso sistemico) esclusivamente per il trattamento dell</w:t>
      </w:r>
      <w:r w:rsidRPr="00116B38">
        <w:rPr>
          <w:rFonts w:ascii="Helvetica" w:eastAsia="Times New Roman" w:hAnsi="Helvetica" w:cs="Helvetica"/>
          <w:color w:val="646464"/>
          <w:sz w:val="27"/>
          <w:szCs w:val="27"/>
          <w:lang w:eastAsia="it-IT"/>
        </w:rPr>
        <w:t>a FIP.</w:t>
      </w:r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br/>
      </w:r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In questa fase iniziale, l’approvvigionamento da parte delle farmacie deve avvenire direttamente tramite la ditta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Gilead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Sciences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Srl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, rappresentante nazionale del titolare dell’autorizzazione all’immissione in commercio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Gilead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Sciences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>Ireland</w:t>
      </w:r>
      <w:proofErr w:type="spellEnd"/>
      <w:r w:rsidRPr="00116B38">
        <w:rPr>
          <w:rFonts w:ascii="Helvetica" w:eastAsia="Times New Roman" w:hAnsi="Helvetica" w:cs="Helvetica"/>
          <w:i/>
          <w:iCs/>
          <w:color w:val="646464"/>
          <w:sz w:val="27"/>
          <w:szCs w:val="27"/>
          <w:lang w:eastAsia="it-IT"/>
        </w:rPr>
        <w:t xml:space="preserve"> UC, ed esclusivamente per il numero di confezioni prescritte. </w:t>
      </w:r>
    </w:p>
    <w:p w:rsidR="00116B38" w:rsidRPr="00116B38" w:rsidRDefault="00116B38" w:rsidP="00116B3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Di seguito l’indirizzo comunicato dalla ditta per la richiesta delle forniture da parte delle farmacie: </w:t>
      </w:r>
      <w:hyperlink r:id="rId8" w:history="1">
        <w:r w:rsidRPr="00116B38">
          <w:rPr>
            <w:rFonts w:ascii="Helvetica" w:eastAsia="Times New Roman" w:hAnsi="Helvetica" w:cs="Helvetica"/>
            <w:i/>
            <w:iCs/>
            <w:color w:val="0F85BA"/>
            <w:sz w:val="27"/>
            <w:szCs w:val="27"/>
            <w:u w:val="single"/>
            <w:lang w:eastAsia="it-IT"/>
          </w:rPr>
          <w:t>ordini@gilead.com</w:t>
        </w:r>
      </w:hyperlink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.</w:t>
      </w: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br/>
      </w: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br/>
        <w:t xml:space="preserve">Sebbene il sistema informativo di tracciabilità consenta il monitoraggio, in tempo reale, di tutte le prescrizioni emesse e delle relative forniture evase sul territorio nazionale per il medicinale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Veklury</w:t>
      </w:r>
      <w:proofErr w:type="spellEnd"/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 xml:space="preserve">, per evadere la richiesta, le farmacie sono invitate ad indicare il numero della REV nella richiesta alla ditta </w:t>
      </w:r>
      <w:proofErr w:type="spellStart"/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Gilead</w:t>
      </w:r>
      <w:proofErr w:type="spellEnd"/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.</w:t>
      </w: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br/>
        <w:t>Segnalazioni di sospetti eventi avversi derivanti dall’utilizzo di tale medicinale devono essere comunicate </w:t>
      </w:r>
      <w:hyperlink r:id="rId9" w:tgtFrame="_blank" w:history="1">
        <w:r w:rsidRPr="00116B38">
          <w:rPr>
            <w:rFonts w:ascii="Helvetica" w:eastAsia="Times New Roman" w:hAnsi="Helvetica" w:cs="Helvetica"/>
            <w:i/>
            <w:iCs/>
            <w:color w:val="0F85BA"/>
            <w:sz w:val="27"/>
            <w:szCs w:val="27"/>
            <w:u w:val="single"/>
            <w:lang w:eastAsia="it-IT"/>
          </w:rPr>
          <w:t>attraverso il sistema nazionale di farmacovigilanza,</w:t>
        </w:r>
      </w:hyperlink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t> istituito con il decreto legislativo 7 dicembre 2023, n. 218 .</w:t>
      </w:r>
      <w:r w:rsidRPr="00116B38">
        <w:rPr>
          <w:rFonts w:ascii="Helvetica" w:eastAsia="Times New Roman" w:hAnsi="Helvetica" w:cs="Helvetica"/>
          <w:i/>
          <w:iCs/>
          <w:color w:val="707982"/>
          <w:sz w:val="27"/>
          <w:szCs w:val="27"/>
          <w:lang w:eastAsia="it-IT"/>
        </w:rPr>
        <w:br/>
        <w:t>Poiché si sospetta lo sviluppo di resistenza a questo antivirale, se ne raccomanda l’impiego secondo le indicazioni d’uso autorizzate</w:t>
      </w:r>
    </w:p>
    <w:p w:rsidR="00116B38" w:rsidRPr="00116B38" w:rsidRDefault="00116B38" w:rsidP="00116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b/>
          <w:bCs/>
          <w:color w:val="707982"/>
          <w:sz w:val="27"/>
          <w:szCs w:val="27"/>
          <w:lang w:eastAsia="it-IT"/>
        </w:rPr>
        <w:t>Fonte: </w:t>
      </w:r>
    </w:p>
    <w:p w:rsidR="00116B38" w:rsidRPr="00116B38" w:rsidRDefault="00116B38" w:rsidP="00116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Ministero della Salute</w:t>
      </w:r>
    </w:p>
    <w:p w:rsidR="00116B38" w:rsidRPr="00116B38" w:rsidRDefault="00116B38" w:rsidP="00116B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</w:pPr>
      <w:r w:rsidRPr="00116B38">
        <w:rPr>
          <w:rFonts w:ascii="Helvetica" w:eastAsia="Times New Roman" w:hAnsi="Helvetica" w:cs="Helvetica"/>
          <w:color w:val="707982"/>
          <w:sz w:val="27"/>
          <w:szCs w:val="27"/>
          <w:lang w:eastAsia="it-IT"/>
        </w:rPr>
        <w:t>  </w:t>
      </w:r>
    </w:p>
    <w:p w:rsidR="007E2633" w:rsidRPr="00324500" w:rsidRDefault="007E2633" w:rsidP="00C2640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E2633" w:rsidRPr="00324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E82"/>
    <w:multiLevelType w:val="hybridMultilevel"/>
    <w:tmpl w:val="B9CEC1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952D2"/>
    <w:multiLevelType w:val="hybridMultilevel"/>
    <w:tmpl w:val="12E2E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7E8"/>
    <w:multiLevelType w:val="hybridMultilevel"/>
    <w:tmpl w:val="135AB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CE"/>
    <w:rsid w:val="000E62A7"/>
    <w:rsid w:val="00116B38"/>
    <w:rsid w:val="001E52A9"/>
    <w:rsid w:val="001E5908"/>
    <w:rsid w:val="00324500"/>
    <w:rsid w:val="003D4B53"/>
    <w:rsid w:val="00671C8F"/>
    <w:rsid w:val="007B68EF"/>
    <w:rsid w:val="007E2633"/>
    <w:rsid w:val="00854E53"/>
    <w:rsid w:val="00A37A5D"/>
    <w:rsid w:val="00AF5836"/>
    <w:rsid w:val="00B552CE"/>
    <w:rsid w:val="00BB6C14"/>
    <w:rsid w:val="00BD484D"/>
    <w:rsid w:val="00BE24EA"/>
    <w:rsid w:val="00C2640B"/>
    <w:rsid w:val="00E42E89"/>
    <w:rsid w:val="00EA4082"/>
    <w:rsid w:val="00F342FC"/>
    <w:rsid w:val="00F7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1E63-9CFD-4188-A370-0E98E19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F58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583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58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58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583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8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263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1127">
                      <w:marLeft w:val="120"/>
                      <w:marRight w:val="12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93009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9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1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4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8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447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i@gile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ovi.it/sites/default/files/Nota%20esplicativa%20prescrizione%20e%20approvigionamento_Veklur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fnovi.it/print/515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lute.gov.it/farmacovigilanzaveterinar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Stefanon</dc:creator>
  <cp:keywords/>
  <dc:description/>
  <cp:lastModifiedBy>Umberto Plozzer</cp:lastModifiedBy>
  <cp:revision>2</cp:revision>
  <dcterms:created xsi:type="dcterms:W3CDTF">2025-09-13T15:14:00Z</dcterms:created>
  <dcterms:modified xsi:type="dcterms:W3CDTF">2025-09-13T15:14:00Z</dcterms:modified>
</cp:coreProperties>
</file>